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hint="eastAsia" w:ascii="Arial" w:hAnsi="Arial" w:cs="Arial" w:eastAsiaTheme="minorEastAsia"/>
          <w:b/>
          <w:bCs/>
          <w:kern w:val="0"/>
          <w:sz w:val="24"/>
          <w:lang w:val="en-US" w:eastAsia="zh-CN"/>
        </w:rPr>
      </w:pPr>
      <w:r>
        <w:rPr>
          <w:rFonts w:ascii="Arial" w:hAnsi="Arial" w:cs="Arial"/>
          <w:b/>
          <w:bCs/>
          <w:kern w:val="0"/>
          <w:sz w:val="24"/>
          <w:lang w:val="en-GB"/>
        </w:rPr>
        <w:t>3GPP TSG-RAN WG2 Meeting #</w:t>
      </w:r>
      <w:r>
        <w:rPr>
          <w:rFonts w:hint="eastAsia" w:ascii="Arial" w:hAnsi="Arial" w:cs="Arial"/>
          <w:b/>
          <w:bCs/>
          <w:kern w:val="0"/>
          <w:sz w:val="24"/>
          <w:lang w:val="en-US" w:eastAsia="zh-CN"/>
        </w:rPr>
        <w:t>103bis</w:t>
      </w:r>
      <w:r>
        <w:rPr>
          <w:rFonts w:ascii="Arial" w:hAnsi="Arial" w:cs="Arial"/>
          <w:b/>
          <w:bCs/>
          <w:kern w:val="0"/>
          <w:sz w:val="24"/>
          <w:lang w:val="en-GB"/>
        </w:rPr>
        <w:t xml:space="preserve"> </w:t>
      </w:r>
      <w:r>
        <w:rPr>
          <w:rFonts w:ascii="Arial" w:hAnsi="Arial" w:cs="Arial"/>
          <w:b/>
          <w:bCs/>
          <w:kern w:val="0"/>
          <w:sz w:val="24"/>
          <w:lang w:val="en-GB"/>
        </w:rPr>
        <w:tab/>
      </w:r>
      <w:r>
        <w:rPr>
          <w:rFonts w:hint="eastAsia" w:ascii="Arial" w:hAnsi="Arial" w:cs="Arial"/>
          <w:b/>
          <w:bCs/>
          <w:kern w:val="0"/>
          <w:sz w:val="24"/>
        </w:rPr>
        <w:t xml:space="preserve">                      </w:t>
      </w:r>
      <w:r>
        <w:rPr>
          <w:rFonts w:hint="eastAsia" w:ascii="Arial" w:hAnsi="Arial" w:cs="Arial"/>
          <w:b/>
          <w:bCs/>
          <w:kern w:val="0"/>
          <w:sz w:val="24"/>
          <w:lang w:val="en-US" w:eastAsia="zh-CN"/>
        </w:rPr>
        <w:t xml:space="preserve">   </w:t>
      </w:r>
      <w:r>
        <w:rPr>
          <w:rFonts w:hint="eastAsia" w:ascii="Arial" w:hAnsi="Arial" w:cs="Arial"/>
          <w:b/>
          <w:bCs/>
          <w:kern w:val="0"/>
          <w:sz w:val="24"/>
        </w:rPr>
        <w:t xml:space="preserve">  </w:t>
      </w:r>
      <w:r>
        <w:rPr>
          <w:rFonts w:hint="eastAsia" w:ascii="Arial" w:hAnsi="Arial" w:cs="Arial"/>
          <w:b/>
          <w:bCs/>
          <w:kern w:val="0"/>
          <w:sz w:val="24"/>
          <w:lang w:val="en-GB"/>
        </w:rPr>
        <w:t>R2-1</w:t>
      </w:r>
      <w:r>
        <w:rPr>
          <w:rFonts w:hint="eastAsia" w:ascii="Arial" w:hAnsi="Arial" w:cs="Arial"/>
          <w:b/>
          <w:bCs/>
          <w:kern w:val="0"/>
          <w:sz w:val="24"/>
        </w:rPr>
        <w:t>8</w:t>
      </w:r>
      <w:r>
        <w:rPr>
          <w:rFonts w:hint="eastAsia" w:ascii="Arial" w:hAnsi="Arial" w:cs="Arial"/>
          <w:b/>
          <w:bCs/>
          <w:kern w:val="0"/>
          <w:sz w:val="24"/>
          <w:lang w:val="en-US" w:eastAsia="zh-CN"/>
        </w:rPr>
        <w:t>13937</w:t>
      </w:r>
    </w:p>
    <w:p>
      <w:pPr>
        <w:overflowPunct w:val="0"/>
        <w:autoSpaceDE w:val="0"/>
        <w:autoSpaceDN w:val="0"/>
        <w:adjustRightInd w:val="0"/>
        <w:snapToGrid w:val="0"/>
        <w:spacing w:before="156"/>
        <w:jc w:val="left"/>
        <w:textAlignment w:val="baseline"/>
        <w:rPr>
          <w:rFonts w:hint="eastAsia" w:ascii="Arial" w:hAnsi="Arial" w:cs="Arial"/>
          <w:b/>
          <w:bCs/>
          <w:kern w:val="0"/>
          <w:sz w:val="24"/>
          <w:lang w:val="en-US" w:eastAsia="zh-CN"/>
        </w:rPr>
      </w:pPr>
      <w:r>
        <w:rPr>
          <w:rFonts w:hint="eastAsia" w:ascii="Arial" w:hAnsi="Arial" w:cs="Arial"/>
          <w:b/>
          <w:bCs/>
          <w:kern w:val="0"/>
          <w:sz w:val="24"/>
          <w:lang w:val="en-US" w:eastAsia="zh-CN"/>
        </w:rPr>
        <w:t>Chengdu</w:t>
      </w:r>
      <w:r>
        <w:rPr>
          <w:rFonts w:ascii="Arial" w:hAnsi="Arial" w:cs="Arial"/>
          <w:b/>
          <w:bCs/>
          <w:kern w:val="0"/>
          <w:sz w:val="24"/>
          <w:lang w:val="en-GB"/>
        </w:rPr>
        <w:t xml:space="preserve">, </w:t>
      </w:r>
      <w:r>
        <w:rPr>
          <w:rFonts w:hint="eastAsia" w:ascii="Arial" w:hAnsi="Arial" w:cs="Arial"/>
          <w:b/>
          <w:bCs/>
          <w:kern w:val="0"/>
          <w:sz w:val="24"/>
          <w:lang w:val="en-US" w:eastAsia="zh-CN"/>
        </w:rPr>
        <w:t>China</w:t>
      </w:r>
      <w:r>
        <w:rPr>
          <w:rFonts w:ascii="Arial" w:hAnsi="Arial" w:cs="Arial"/>
          <w:b/>
          <w:bCs/>
          <w:kern w:val="0"/>
          <w:sz w:val="24"/>
          <w:lang w:val="en-GB"/>
        </w:rPr>
        <w:t xml:space="preserve">, </w:t>
      </w:r>
      <w:r>
        <w:rPr>
          <w:rFonts w:hint="eastAsia" w:ascii="Arial" w:hAnsi="Arial" w:cs="Arial"/>
          <w:b/>
          <w:bCs/>
          <w:kern w:val="0"/>
          <w:sz w:val="24"/>
          <w:lang w:val="en-US" w:eastAsia="zh-CN"/>
        </w:rPr>
        <w:t>8</w:t>
      </w:r>
      <w:r>
        <w:rPr>
          <w:rFonts w:hint="eastAsia" w:ascii="Arial" w:hAnsi="Arial" w:cs="Arial"/>
          <w:b/>
          <w:bCs/>
          <w:kern w:val="0"/>
          <w:sz w:val="24"/>
          <w:vertAlign w:val="superscript"/>
          <w:lang w:val="en-US" w:eastAsia="zh-CN"/>
        </w:rPr>
        <w:t>th</w:t>
      </w:r>
      <w:r>
        <w:rPr>
          <w:rFonts w:ascii="Arial" w:hAnsi="Arial" w:cs="Arial"/>
          <w:b/>
          <w:bCs/>
          <w:kern w:val="0"/>
          <w:sz w:val="24"/>
          <w:lang w:val="en-GB"/>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lang w:val="en-US" w:eastAsia="zh-CN"/>
        </w:rPr>
        <w:t>Aug</w:t>
      </w:r>
      <w:r>
        <w:rPr>
          <w:rFonts w:hint="eastAsia" w:ascii="Arial" w:hAnsi="Arial" w:cs="Arial"/>
          <w:b/>
          <w:bCs/>
          <w:kern w:val="0"/>
          <w:sz w:val="24"/>
          <w:lang w:val="en-GB"/>
        </w:rPr>
        <w:t xml:space="preserve"> 2018</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hint="eastAsia" w:ascii="Arial" w:hAnsi="Arial" w:cs="Arial"/>
          <w:b/>
          <w:bCs/>
          <w:color w:val="9A9B9D" w:themeColor="background2" w:themeTint="99"/>
          <w:kern w:val="0"/>
          <w:sz w:val="24"/>
          <w:lang w:val="en-GB"/>
          <w14:textFill>
            <w14:solidFill>
              <w14:schemeClr w14:val="bg2">
                <w14:lumMod w14:val="60000"/>
                <w14:lumOff w14:val="40000"/>
              </w14:schemeClr>
            </w14:solidFill>
          </w14:textFill>
        </w:rPr>
        <w:t xml:space="preserve"> </w:t>
      </w:r>
      <w:r>
        <w:rPr>
          <w:rFonts w:hint="eastAsia" w:ascii="Arial" w:hAnsi="Arial" w:cs="Arial"/>
          <w:b/>
          <w:bCs/>
          <w:color w:val="9A9B9D" w:themeColor="background2" w:themeTint="99"/>
          <w:kern w:val="0"/>
          <w:sz w:val="28"/>
          <w:szCs w:val="28"/>
          <w14:textFill>
            <w14:solidFill>
              <w14:schemeClr w14:val="bg2">
                <w14:lumMod w14:val="60000"/>
                <w14:lumOff w14:val="40000"/>
              </w14:schemeClr>
            </w14:solidFill>
          </w14:textFill>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hint="eastAsia" w:ascii="Arial" w:hAnsi="Arial" w:cs="Arial"/>
          <w:b/>
          <w:bCs/>
          <w:snapToGrid w:val="0"/>
          <w:kern w:val="0"/>
          <w:sz w:val="24"/>
          <w:lang w:val="en-US" w:eastAsia="zh-CN"/>
        </w:rPr>
        <w:t>,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 HARQ ARQ procedure under RRC based BWP switch</w:t>
      </w:r>
      <w:r>
        <w:rPr>
          <w:rFonts w:hint="eastAsia" w:ascii="Arial" w:hAnsi="Arial" w:cs="Arial"/>
          <w:b/>
          <w:bCs/>
          <w:snapToGrid w:val="0"/>
          <w:kern w:val="0"/>
          <w:sz w:val="24"/>
        </w:rPr>
        <w:t xml:space="preserve">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10.4.1</w:t>
      </w:r>
      <w:r>
        <w:rPr>
          <w:rFonts w:hint="eastAsia" w:ascii="Arial" w:hAnsi="Arial" w:cs="Arial"/>
          <w:b/>
          <w:bCs/>
          <w:snapToGrid w:val="0"/>
          <w:kern w:val="0"/>
          <w:sz w:val="24"/>
          <w:lang w:val="en-US" w:eastAsia="zh-CN"/>
        </w:rPr>
        <w:t>.3.4</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pPr>
      <w:r>
        <w:rPr>
          <w:rFonts w:hint="eastAsia"/>
        </w:rPr>
        <w:t>During RAN2 #</w:t>
      </w:r>
      <w:r>
        <w:rPr>
          <w:rFonts w:hint="eastAsia"/>
          <w:lang w:val="en-US" w:eastAsia="zh-CN"/>
        </w:rPr>
        <w:t>AH1807</w:t>
      </w:r>
      <w:r>
        <w:rPr>
          <w:rFonts w:hint="eastAsia"/>
        </w:rPr>
        <w:t xml:space="preserve"> </w:t>
      </w:r>
      <w:r>
        <w:rPr>
          <w:rFonts w:hint="eastAsia"/>
          <w:lang w:val="en-US" w:eastAsia="zh-CN"/>
        </w:rPr>
        <w:t>Montreal</w:t>
      </w:r>
      <w:r>
        <w:rPr>
          <w:rFonts w:hint="eastAsia"/>
        </w:rPr>
        <w:t xml:space="preserve"> meeting, following agreements</w:t>
      </w:r>
      <w:r>
        <w:rPr>
          <w:rFonts w:hint="eastAsia"/>
          <w:lang w:val="en-US" w:eastAsia="zh-CN"/>
        </w:rPr>
        <w:t xml:space="preserve"> were made to enable BWP switch with normal RRC reconfiguration procedure or via Msg4</w:t>
      </w:r>
      <w:r>
        <w:rPr>
          <w:rFonts w:hint="eastAsia"/>
        </w:rPr>
        <w:t>:</w:t>
      </w:r>
      <w:bookmarkStart w:id="2" w:name="_GoBack"/>
      <w:bookmarkEnd w:id="2"/>
    </w:p>
    <w:p>
      <w:pPr>
        <w:pStyle w:val="82"/>
        <w:widowControl w:val="0"/>
        <w:pBdr>
          <w:top w:val="single" w:color="auto" w:sz="4" w:space="1"/>
          <w:left w:val="single" w:color="auto" w:sz="4" w:space="4"/>
          <w:bottom w:val="single" w:color="auto" w:sz="4" w:space="1"/>
          <w:right w:val="single" w:color="auto" w:sz="4" w:space="4"/>
        </w:pBdr>
        <w:tabs>
          <w:tab w:val="clear" w:pos="1622"/>
        </w:tabs>
        <w:snapToGrid w:val="0"/>
        <w:spacing w:before="0" w:beforeLines="0" w:after="0" w:line="260" w:lineRule="auto"/>
        <w:ind w:left="420" w:hanging="200"/>
        <w:rPr>
          <w:sz w:val="18"/>
          <w:szCs w:val="21"/>
          <w:lang w:val="en-US"/>
        </w:rPr>
      </w:pPr>
      <w:r>
        <w:rPr>
          <w:rFonts w:hint="default"/>
          <w:sz w:val="18"/>
          <w:szCs w:val="21"/>
          <w:lang w:val="en-US" w:eastAsia="zh-CN"/>
        </w:rPr>
        <w:t>Agreements</w:t>
      </w:r>
    </w:p>
    <w:p>
      <w:pPr>
        <w:pStyle w:val="82"/>
        <w:widowControl w:val="0"/>
        <w:pBdr>
          <w:top w:val="single" w:color="auto" w:sz="4" w:space="1"/>
          <w:left w:val="single" w:color="auto" w:sz="4" w:space="4"/>
          <w:bottom w:val="single" w:color="auto" w:sz="4" w:space="1"/>
          <w:right w:val="single" w:color="auto" w:sz="4" w:space="4"/>
        </w:pBdr>
        <w:tabs>
          <w:tab w:val="clear" w:pos="1622"/>
        </w:tabs>
        <w:snapToGrid w:val="0"/>
        <w:spacing w:before="0" w:beforeLines="0" w:after="0" w:line="260" w:lineRule="auto"/>
        <w:ind w:left="420" w:hanging="200"/>
        <w:rPr>
          <w:sz w:val="18"/>
          <w:szCs w:val="21"/>
          <w:lang w:val="en-US"/>
        </w:rPr>
      </w:pPr>
      <w:r>
        <w:rPr>
          <w:rFonts w:hint="default"/>
          <w:sz w:val="18"/>
          <w:szCs w:val="21"/>
          <w:lang w:val="en-US" w:eastAsia="zh-CN"/>
        </w:rPr>
        <w:t>1:</w:t>
      </w:r>
      <w:r>
        <w:rPr>
          <w:rFonts w:hint="default"/>
          <w:sz w:val="18"/>
          <w:szCs w:val="21"/>
          <w:lang w:val="en-US" w:eastAsia="zh-CN"/>
        </w:rPr>
        <w:tab/>
      </w:r>
      <w:r>
        <w:rPr>
          <w:rFonts w:hint="default"/>
          <w:sz w:val="18"/>
          <w:szCs w:val="21"/>
          <w:lang w:val="en-US" w:eastAsia="zh-CN"/>
        </w:rPr>
        <w:t>Support configuring dedicated BWP (via either option 1 or option 2) in Msg4 for all cases (initial access, resume and re-establishment). This is applicable to PCells only.</w:t>
      </w:r>
    </w:p>
    <w:p>
      <w:pPr>
        <w:pStyle w:val="82"/>
        <w:widowControl w:val="0"/>
        <w:pBdr>
          <w:top w:val="single" w:color="auto" w:sz="4" w:space="1"/>
          <w:left w:val="single" w:color="auto" w:sz="4" w:space="4"/>
          <w:bottom w:val="single" w:color="auto" w:sz="4" w:space="1"/>
          <w:right w:val="single" w:color="auto" w:sz="4" w:space="4"/>
        </w:pBdr>
        <w:tabs>
          <w:tab w:val="clear" w:pos="1622"/>
        </w:tabs>
        <w:snapToGrid w:val="0"/>
        <w:spacing w:before="0" w:beforeLines="0" w:after="0" w:line="260" w:lineRule="auto"/>
        <w:ind w:left="420" w:hanging="200"/>
        <w:rPr>
          <w:sz w:val="18"/>
          <w:szCs w:val="21"/>
          <w:lang w:val="en-US"/>
        </w:rPr>
      </w:pPr>
      <w:r>
        <w:rPr>
          <w:rFonts w:hint="default"/>
          <w:sz w:val="18"/>
          <w:szCs w:val="21"/>
          <w:lang w:val="en-US" w:eastAsia="zh-CN"/>
        </w:rPr>
        <w:t>2:</w:t>
      </w:r>
      <w:r>
        <w:rPr>
          <w:rFonts w:hint="default"/>
          <w:sz w:val="18"/>
          <w:szCs w:val="21"/>
          <w:lang w:val="en-US" w:eastAsia="zh-CN"/>
        </w:rPr>
        <w:tab/>
      </w:r>
      <w:r>
        <w:rPr>
          <w:rFonts w:hint="default"/>
          <w:sz w:val="18"/>
          <w:szCs w:val="21"/>
          <w:lang w:val="en-US" w:eastAsia="zh-CN"/>
        </w:rPr>
        <w:t xml:space="preserve">In all cases, </w:t>
      </w:r>
      <w:r>
        <w:rPr>
          <w:rFonts w:hint="default"/>
          <w:sz w:val="18"/>
          <w:szCs w:val="21"/>
          <w:highlight w:val="yellow"/>
          <w:lang w:val="en-US" w:eastAsia="zh-CN"/>
        </w:rPr>
        <w:t>UE does BWP switching immediately upon acting on the RRC (re)configuration</w:t>
      </w:r>
      <w:r>
        <w:rPr>
          <w:rFonts w:hint="default"/>
          <w:sz w:val="18"/>
          <w:szCs w:val="21"/>
          <w:lang w:val="en-US" w:eastAsia="zh-CN"/>
        </w:rPr>
        <w:t>. This is applicable to SpCells only.</w:t>
      </w:r>
    </w:p>
    <w:p>
      <w:pPr>
        <w:pStyle w:val="82"/>
        <w:widowControl w:val="0"/>
        <w:pBdr>
          <w:top w:val="single" w:color="auto" w:sz="4" w:space="1"/>
          <w:left w:val="single" w:color="auto" w:sz="4" w:space="4"/>
          <w:bottom w:val="single" w:color="auto" w:sz="4" w:space="1"/>
          <w:right w:val="single" w:color="auto" w:sz="4" w:space="4"/>
        </w:pBdr>
        <w:tabs>
          <w:tab w:val="clear" w:pos="1622"/>
        </w:tabs>
        <w:snapToGrid w:val="0"/>
        <w:spacing w:before="0" w:beforeLines="0" w:after="0" w:line="260" w:lineRule="auto"/>
        <w:ind w:left="420" w:hanging="200"/>
        <w:rPr>
          <w:sz w:val="18"/>
          <w:szCs w:val="21"/>
        </w:rPr>
      </w:pPr>
      <w:r>
        <w:rPr>
          <w:rFonts w:hint="default"/>
          <w:sz w:val="18"/>
          <w:szCs w:val="21"/>
          <w:lang w:val="en-US" w:eastAsia="zh-CN"/>
        </w:rPr>
        <w:t>3</w:t>
      </w:r>
      <w:r>
        <w:rPr>
          <w:rFonts w:hint="default"/>
          <w:sz w:val="18"/>
          <w:szCs w:val="21"/>
          <w:lang w:val="en-US" w:eastAsia="zh-CN"/>
        </w:rPr>
        <w:tab/>
      </w:r>
      <w:r>
        <w:rPr>
          <w:rFonts w:hint="default"/>
          <w:sz w:val="18"/>
          <w:szCs w:val="21"/>
          <w:highlight w:val="yellow"/>
          <w:lang w:val="en-US" w:eastAsia="zh-CN"/>
        </w:rPr>
        <w:t>Support switching SpCell BWP or reconfiguring SpCell BWP without RRC reconfiguration with sync</w:t>
      </w:r>
      <w:r>
        <w:rPr>
          <w:rFonts w:hint="default"/>
          <w:sz w:val="18"/>
          <w:szCs w:val="21"/>
          <w:lang w:val="en-US" w:eastAsia="zh-CN"/>
        </w:rPr>
        <w:t>. PSCell addition or change still requires reconfig with sync.</w:t>
      </w:r>
    </w:p>
    <w:p>
      <w:pPr>
        <w:spacing w:before="156"/>
      </w:pPr>
      <w:r>
        <w:rPr>
          <w:rFonts w:hint="eastAsia"/>
        </w:rPr>
        <w:t xml:space="preserve">In this contribution, we </w:t>
      </w:r>
      <w:r>
        <w:rPr>
          <w:rFonts w:hint="eastAsia"/>
          <w:lang w:val="en-US" w:eastAsia="zh-CN"/>
        </w:rPr>
        <w:t>further discussed the remaining issues of RRC based BWP switch and shared our views</w:t>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spacing w:before="156"/>
        <w:rPr>
          <w:rFonts w:hint="eastAsia"/>
          <w:lang w:val="en-US" w:eastAsia="zh-CN"/>
        </w:rPr>
      </w:pPr>
      <w:r>
        <w:rPr>
          <w:rFonts w:hint="eastAsia"/>
          <w:lang w:val="en-US" w:eastAsia="zh-CN"/>
        </w:rPr>
        <w:t xml:space="preserve">After RAN2#AH1807 meeting, companies agreed that </w:t>
      </w:r>
      <w:r>
        <w:rPr>
          <w:rFonts w:hint="default"/>
          <w:lang w:val="en-US" w:eastAsia="zh-CN"/>
        </w:rPr>
        <w:t>“</w:t>
      </w:r>
      <w:r>
        <w:rPr>
          <w:rFonts w:hint="eastAsia"/>
          <w:lang w:val="en-US" w:eastAsia="zh-CN"/>
        </w:rPr>
        <w:t>RRC based BWP switch</w:t>
      </w:r>
      <w:r>
        <w:rPr>
          <w:rFonts w:hint="default"/>
          <w:lang w:val="en-US" w:eastAsia="zh-CN"/>
        </w:rPr>
        <w:t>”</w:t>
      </w:r>
      <w:r>
        <w:rPr>
          <w:rFonts w:hint="eastAsia"/>
          <w:lang w:val="en-US" w:eastAsia="zh-CN"/>
        </w:rPr>
        <w:t xml:space="preserve"> can be triggered by normal reconfiguration procedure, UE does BWP switching immediately upon receiving the RRCReconfiguration message, by doing this, Msg5 or RRCReconfigurationComplete message will be sent directly through the new BWP. </w:t>
      </w:r>
    </w:p>
    <w:p>
      <w:pPr>
        <w:spacing w:before="156"/>
        <w:rPr>
          <w:rFonts w:hint="eastAsia"/>
          <w:lang w:val="en-US" w:eastAsia="zh-CN"/>
        </w:rPr>
      </w:pPr>
      <w:r>
        <w:rPr>
          <w:rFonts w:hint="eastAsia"/>
          <w:lang w:val="en-US" w:eastAsia="zh-CN"/>
        </w:rPr>
        <w:t>However, it is not clear whether HARQ/ARQ is needed for Msg4 or RRCReconfiguration message, and which BWP will be used for Ack/Nack transmission. Therefore, from network</w:t>
      </w:r>
      <w:r>
        <w:rPr>
          <w:rFonts w:hint="default"/>
          <w:lang w:val="en-US" w:eastAsia="zh-CN"/>
        </w:rPr>
        <w:t>’</w:t>
      </w:r>
      <w:r>
        <w:rPr>
          <w:rFonts w:hint="eastAsia"/>
          <w:lang w:val="en-US" w:eastAsia="zh-CN"/>
        </w:rPr>
        <w:t xml:space="preserve">s perspective, it may result in some ambiguity period and unnecessary latency. </w:t>
      </w:r>
    </w:p>
    <w:p>
      <w:pPr>
        <w:spacing w:before="156" w:after="156" w:afterLines="50"/>
        <w:ind w:left="1202" w:hanging="1202" w:hangingChars="570"/>
        <w:rPr>
          <w:rFonts w:hint="eastAsia"/>
          <w:b/>
          <w:lang w:val="en-US" w:eastAsia="zh-CN"/>
        </w:rPr>
      </w:pPr>
      <w:r>
        <w:rPr>
          <w:rFonts w:hint="eastAsia"/>
          <w:b/>
          <w:lang w:val="en-US" w:eastAsia="zh-CN"/>
        </w:rPr>
        <w:t>Observation1</w:t>
      </w:r>
      <w:r>
        <w:rPr>
          <w:rFonts w:hint="eastAsia"/>
          <w:b/>
        </w:rPr>
        <w:t xml:space="preserve">: </w:t>
      </w:r>
      <w:r>
        <w:rPr>
          <w:rFonts w:hint="eastAsia"/>
          <w:b/>
          <w:lang w:val="en-US" w:eastAsia="zh-CN"/>
        </w:rPr>
        <w:t xml:space="preserve">In case of RRC based BWP switch, it is unclear whether HARQ/ARQ is needed for Msg4 or RRCReconfiguration message, and which BWP will be used for Ack/Nack Transmission if any.  </w:t>
      </w:r>
    </w:p>
    <w:p>
      <w:pPr>
        <w:spacing w:before="156"/>
        <w:rPr>
          <w:rFonts w:hint="eastAsia"/>
          <w:lang w:val="en-US" w:eastAsia="zh-CN"/>
        </w:rPr>
      </w:pPr>
      <w:r>
        <w:rPr>
          <w:rFonts w:hint="eastAsia"/>
          <w:lang w:val="en-US" w:eastAsia="zh-CN"/>
        </w:rPr>
        <w:t xml:space="preserve">Investigate into DCI based BWP switch mechanism, during RAN1 #91 meeting, due to the unpredictable delay of BWP switching, following agreement was made (although only FDD mode is mentioned, companies in RAN1 suggested to adopt the same principle for TDD case): </w:t>
      </w:r>
    </w:p>
    <w:p>
      <w:pPr>
        <w:spacing w:before="156"/>
        <w:ind w:left="420" w:leftChars="200" w:firstLine="0" w:firstLineChars="0"/>
        <w:rPr>
          <w:rFonts w:hint="eastAsia"/>
          <w:highlight w:val="green"/>
          <w:lang w:val="en-US" w:eastAsia="zh-CN"/>
        </w:rPr>
      </w:pPr>
      <w:r>
        <w:rPr>
          <w:rFonts w:hint="eastAsia"/>
          <w:highlight w:val="green"/>
          <w:lang w:val="en-US" w:eastAsia="zh-CN"/>
        </w:rPr>
        <w:t>RAN1 #91 Agreements:</w:t>
      </w:r>
    </w:p>
    <w:p>
      <w:pPr>
        <w:keepNext w:val="0"/>
        <w:keepLines w:val="0"/>
        <w:pageBreakBefore w:val="0"/>
        <w:widowControl w:val="0"/>
        <w:numPr>
          <w:ilvl w:val="0"/>
          <w:numId w:val="4"/>
        </w:numPr>
        <w:kinsoku/>
        <w:wordWrap/>
        <w:overflowPunct/>
        <w:topLinePunct w:val="0"/>
        <w:autoSpaceDE/>
        <w:autoSpaceDN/>
        <w:bidi w:val="0"/>
        <w:adjustRightInd/>
        <w:snapToGrid/>
        <w:spacing w:before="0" w:beforeLines="0" w:after="0" w:line="240" w:lineRule="auto"/>
        <w:ind w:left="840" w:leftChars="200" w:hanging="420" w:hangingChars="200"/>
        <w:textAlignment w:val="auto"/>
        <w:outlineLvl w:val="9"/>
        <w:rPr>
          <w:rFonts w:hint="eastAsia"/>
          <w:i/>
          <w:iCs/>
          <w:lang w:val="en-US" w:eastAsia="zh-CN"/>
        </w:rPr>
      </w:pPr>
      <w:r>
        <w:rPr>
          <w:rFonts w:hint="eastAsia"/>
          <w:i/>
          <w:iCs/>
          <w:lang w:val="en-US" w:eastAsia="zh-CN"/>
        </w:rPr>
        <w:t>A UE is not expected to transmit HARQ-ACK if UE</w:t>
      </w:r>
      <w:r>
        <w:rPr>
          <w:rFonts w:hint="default"/>
          <w:i/>
          <w:iCs/>
          <w:lang w:val="en-US" w:eastAsia="zh-CN"/>
        </w:rPr>
        <w:t>’</w:t>
      </w:r>
      <w:r>
        <w:rPr>
          <w:rFonts w:hint="eastAsia"/>
          <w:i/>
          <w:iCs/>
          <w:lang w:val="en-US" w:eastAsia="zh-CN"/>
        </w:rPr>
        <w:t xml:space="preserve">s active UL BWP is switched between the reception of the corresponding DL assignment and the time of HARQ-ACK transmission at least for the paired spectrum. </w:t>
      </w:r>
    </w:p>
    <w:p>
      <w:pPr>
        <w:spacing w:before="156"/>
        <w:rPr>
          <w:rFonts w:hint="eastAsia"/>
          <w:lang w:val="en-US" w:eastAsia="zh-CN"/>
        </w:rPr>
      </w:pPr>
      <w:r>
        <w:rPr>
          <w:rFonts w:hint="eastAsia"/>
          <w:lang w:val="en-US" w:eastAsia="zh-CN"/>
        </w:rPr>
        <w:t xml:space="preserve">As we seen, the above agreement is also applicable to RRC triggered BWP switch scenario.  </w:t>
      </w:r>
    </w:p>
    <w:p>
      <w:pPr>
        <w:spacing w:before="156" w:after="156" w:afterLines="50"/>
        <w:ind w:left="1202" w:hanging="1202" w:hangingChars="570"/>
        <w:rPr>
          <w:rFonts w:hint="eastAsia"/>
          <w:lang w:val="en-US" w:eastAsia="zh-CN"/>
        </w:rPr>
      </w:pPr>
      <w:r>
        <w:rPr>
          <w:rFonts w:hint="eastAsia"/>
          <w:b/>
          <w:lang w:val="en-US" w:eastAsia="zh-CN"/>
        </w:rPr>
        <w:t>Observation2</w:t>
      </w:r>
      <w:r>
        <w:rPr>
          <w:rFonts w:hint="eastAsia"/>
          <w:b/>
        </w:rPr>
        <w:t xml:space="preserve">: </w:t>
      </w:r>
      <w:r>
        <w:rPr>
          <w:rFonts w:hint="eastAsia"/>
          <w:b/>
          <w:lang w:val="en-US" w:eastAsia="zh-CN"/>
        </w:rPr>
        <w:t xml:space="preserve">According to RAN1 agreement, for RRC triggered BWP switch, UE is not expected to transmit HARQ-ACK if UL BWP is switched between the reception of DL RRC message and the time of HARQ-ACK transmission.  </w:t>
      </w:r>
    </w:p>
    <w:p>
      <w:pPr>
        <w:spacing w:before="156"/>
        <w:rPr>
          <w:rFonts w:hint="eastAsia"/>
          <w:lang w:val="en-US" w:eastAsia="zh-CN"/>
        </w:rPr>
      </w:pPr>
      <w:r>
        <w:rPr>
          <w:rFonts w:hint="eastAsia"/>
          <w:lang w:val="en-US" w:eastAsia="zh-CN"/>
        </w:rPr>
        <w:t xml:space="preserve">Except above observations, in our understanding, some enhancement can be further considered, regarding reconfiguration with sync procedure, in order to reduce the total interruption time, in current 38.331(see below), a </w:t>
      </w:r>
      <w:r>
        <w:rPr>
          <w:rFonts w:hint="default"/>
          <w:lang w:val="en-US" w:eastAsia="zh-CN"/>
        </w:rPr>
        <w:t>‘</w:t>
      </w:r>
      <w:r>
        <w:rPr>
          <w:rFonts w:hint="eastAsia"/>
          <w:lang w:val="en-US" w:eastAsia="zh-CN"/>
        </w:rPr>
        <w:t>Note</w:t>
      </w:r>
      <w:r>
        <w:rPr>
          <w:rFonts w:hint="default"/>
          <w:lang w:val="en-US" w:eastAsia="zh-CN"/>
        </w:rPr>
        <w:t>’</w:t>
      </w:r>
      <w:r>
        <w:rPr>
          <w:rFonts w:hint="eastAsia"/>
          <w:lang w:val="en-US" w:eastAsia="zh-CN"/>
        </w:rPr>
        <w:t xml:space="preserve"> was added in section 5.3.5.5.2, it emphasizes that, UE can perform the procedure as soon as possible, even before confirming successful reception( HARQ and ARQ) of reconfiguration message. </w:t>
      </w:r>
    </w:p>
    <w:tbl>
      <w:tblPr>
        <w:tblStyle w:val="65"/>
        <w:tblW w:w="9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6" w:hRule="atLeast"/>
          <w:jc w:val="center"/>
        </w:trPr>
        <w:tc>
          <w:tcPr>
            <w:tcW w:w="9640" w:type="dxa"/>
          </w:tcPr>
          <w:p>
            <w:pPr>
              <w:pStyle w:val="6"/>
              <w:pageBreakBefore w:val="0"/>
              <w:widowControl/>
              <w:numPr>
                <w:ilvl w:val="2"/>
                <w:numId w:val="0"/>
              </w:numPr>
              <w:suppressLineNumbers w:val="0"/>
              <w:kinsoku/>
              <w:wordWrap/>
              <w:topLinePunct w:val="0"/>
              <w:bidi w:val="0"/>
              <w:snapToGrid w:val="0"/>
              <w:spacing w:before="0" w:beforeLines="0" w:beforeAutospacing="0" w:afterAutospacing="0"/>
              <w:ind w:right="0"/>
              <w:rPr>
                <w:rFonts w:hint="default" w:eastAsia="MS Mincho"/>
                <w:sz w:val="21"/>
                <w:szCs w:val="22"/>
                <w:lang w:val="en-US"/>
              </w:rPr>
            </w:pPr>
            <w:r>
              <w:rPr>
                <w:rFonts w:hint="default" w:eastAsia="MS Mincho"/>
                <w:sz w:val="21"/>
                <w:szCs w:val="22"/>
                <w:lang w:val="en-US"/>
              </w:rPr>
              <w:t>5.3.5.5.2</w:t>
            </w:r>
            <w:r>
              <w:rPr>
                <w:rFonts w:hint="default" w:eastAsia="MS Mincho"/>
                <w:sz w:val="21"/>
                <w:szCs w:val="22"/>
                <w:lang w:val="en-US"/>
              </w:rPr>
              <w:tab/>
            </w:r>
            <w:r>
              <w:rPr>
                <w:rFonts w:hint="default" w:eastAsia="MS Mincho"/>
                <w:sz w:val="21"/>
                <w:szCs w:val="22"/>
                <w:lang w:val="en-US"/>
              </w:rPr>
              <w:t>Reconfiguration with sync</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Lines="0" w:beforeAutospacing="0" w:after="180" w:afterAutospacing="0"/>
              <w:ind w:left="0" w:right="0"/>
              <w:jc w:val="left"/>
              <w:rPr>
                <w:rFonts w:hint="default" w:eastAsia="MS Mincho"/>
                <w:sz w:val="20"/>
                <w:szCs w:val="22"/>
                <w:lang w:val="en-US"/>
              </w:rPr>
            </w:pPr>
            <w:r>
              <w:rPr>
                <w:rFonts w:hint="default" w:ascii="Times New Roman" w:hAnsi="Times New Roman" w:eastAsia="Times New Roman" w:cs="Times New Roman"/>
                <w:kern w:val="0"/>
                <w:sz w:val="18"/>
                <w:szCs w:val="18"/>
                <w:lang w:val="en-US" w:eastAsia="zh-CN" w:bidi="ar"/>
              </w:rPr>
              <w:t>The UE shall perform the following actions to execute a reconfiguration with sync.</w:t>
            </w:r>
          </w:p>
          <w:p>
            <w:pPr>
              <w:pStyle w:val="54"/>
              <w:keepNext w:val="0"/>
              <w:keepLines w:val="0"/>
              <w:pageBreakBefore w:val="0"/>
              <w:widowControl/>
              <w:suppressLineNumbers w:val="0"/>
              <w:kinsoku/>
              <w:wordWrap/>
              <w:overflowPunct w:val="0"/>
              <w:topLinePunct w:val="0"/>
              <w:autoSpaceDE w:val="0"/>
              <w:autoSpaceDN w:val="0"/>
              <w:bidi w:val="0"/>
              <w:adjustRightInd w:val="0"/>
              <w:snapToGrid w:val="0"/>
              <w:spacing w:before="0" w:beforeLines="0" w:beforeAutospacing="0" w:after="180" w:afterAutospacing="0"/>
              <w:ind w:left="568" w:right="0" w:hanging="284"/>
              <w:jc w:val="left"/>
              <w:rPr>
                <w:rFonts w:hint="default"/>
                <w:sz w:val="22"/>
                <w:szCs w:val="22"/>
                <w:lang w:val="en-US"/>
              </w:rPr>
            </w:pPr>
            <w:r>
              <w:rPr>
                <w:rFonts w:hint="default" w:ascii="Times New Roman" w:hAnsi="Times New Roman" w:eastAsia="Times New Roman" w:cs="Times New Roman"/>
                <w:kern w:val="0"/>
                <w:sz w:val="18"/>
                <w:szCs w:val="18"/>
                <w:lang w:val="en-US" w:eastAsia="zh-CN" w:bidi="ar"/>
              </w:rPr>
              <w:t>1&gt;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stop timer T310 for the corresponding SpCell, if running;</w:t>
            </w:r>
          </w:p>
          <w:p>
            <w:pPr>
              <w:pStyle w:val="54"/>
              <w:keepNext w:val="0"/>
              <w:keepLines w:val="0"/>
              <w:pageBreakBefore w:val="0"/>
              <w:widowControl/>
              <w:suppressLineNumbers w:val="0"/>
              <w:kinsoku/>
              <w:wordWrap/>
              <w:overflowPunct w:val="0"/>
              <w:topLinePunct w:val="0"/>
              <w:autoSpaceDE w:val="0"/>
              <w:autoSpaceDN w:val="0"/>
              <w:bidi w:val="0"/>
              <w:adjustRightInd w:val="0"/>
              <w:snapToGrid w:val="0"/>
              <w:spacing w:before="0" w:beforeLines="0" w:beforeAutospacing="0" w:after="180" w:afterAutospacing="0"/>
              <w:ind w:left="568" w:right="0" w:hanging="284"/>
              <w:jc w:val="left"/>
              <w:rPr>
                <w:rFonts w:hint="default"/>
                <w:sz w:val="22"/>
                <w:szCs w:val="22"/>
                <w:lang w:val="en-US"/>
              </w:rPr>
            </w:pPr>
            <w:r>
              <w:rPr>
                <w:rFonts w:hint="default" w:ascii="Times New Roman" w:hAnsi="Times New Roman" w:eastAsia="Times New Roman" w:cs="Times New Roman"/>
                <w:kern w:val="0"/>
                <w:sz w:val="18"/>
                <w:szCs w:val="18"/>
                <w:lang w:val="en-US" w:eastAsia="zh-CN" w:bidi="ar"/>
              </w:rPr>
              <w:t>1&gt;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 xml:space="preserve">start timer T304 for the corresponding SpCell with the timer value set to </w:t>
            </w:r>
            <w:r>
              <w:rPr>
                <w:rFonts w:hint="default" w:ascii="Times New Roman" w:hAnsi="Times New Roman" w:eastAsia="Times New Roman" w:cs="Times New Roman"/>
                <w:i/>
                <w:iCs w:val="0"/>
                <w:kern w:val="0"/>
                <w:sz w:val="18"/>
                <w:szCs w:val="18"/>
                <w:lang w:val="en-US" w:eastAsia="zh-CN" w:bidi="ar"/>
              </w:rPr>
              <w:t>t304</w:t>
            </w:r>
            <w:r>
              <w:rPr>
                <w:rFonts w:hint="default" w:ascii="Times New Roman" w:hAnsi="Times New Roman" w:eastAsia="Times New Roman" w:cs="Times New Roman"/>
                <w:kern w:val="0"/>
                <w:sz w:val="18"/>
                <w:szCs w:val="18"/>
                <w:lang w:val="en-US" w:eastAsia="zh-CN" w:bidi="ar"/>
              </w:rPr>
              <w:t xml:space="preserve">, as included in the </w:t>
            </w:r>
            <w:r>
              <w:rPr>
                <w:rFonts w:hint="default" w:ascii="Times New Roman" w:hAnsi="Times New Roman" w:eastAsia="Times New Roman" w:cs="Times New Roman"/>
                <w:i/>
                <w:iCs w:val="0"/>
                <w:kern w:val="0"/>
                <w:sz w:val="18"/>
                <w:szCs w:val="18"/>
                <w:lang w:val="en-US" w:eastAsia="zh-CN" w:bidi="ar"/>
              </w:rPr>
              <w:t>reconfigurationWithSync</w:t>
            </w:r>
            <w:r>
              <w:rPr>
                <w:rFonts w:hint="default" w:ascii="Times New Roman" w:hAnsi="Times New Roman" w:eastAsia="Times New Roman" w:cs="Times New Roman"/>
                <w:kern w:val="0"/>
                <w:sz w:val="18"/>
                <w:szCs w:val="18"/>
                <w:lang w:val="en-US" w:eastAsia="zh-CN" w:bidi="ar"/>
              </w:rPr>
              <w:t>;</w:t>
            </w:r>
          </w:p>
          <w:p>
            <w:pPr>
              <w:pStyle w:val="54"/>
              <w:keepNext w:val="0"/>
              <w:keepLines w:val="0"/>
              <w:pageBreakBefore w:val="0"/>
              <w:widowControl/>
              <w:suppressLineNumbers w:val="0"/>
              <w:kinsoku/>
              <w:wordWrap/>
              <w:overflowPunct w:val="0"/>
              <w:topLinePunct w:val="0"/>
              <w:autoSpaceDE w:val="0"/>
              <w:autoSpaceDN w:val="0"/>
              <w:bidi w:val="0"/>
              <w:adjustRightInd w:val="0"/>
              <w:snapToGrid w:val="0"/>
              <w:spacing w:before="0" w:beforeLines="0" w:beforeAutospacing="0" w:after="180" w:afterAutospacing="0"/>
              <w:ind w:left="568" w:right="0" w:hanging="284"/>
              <w:jc w:val="left"/>
              <w:rPr>
                <w:rFonts w:hint="default"/>
                <w:sz w:val="22"/>
                <w:szCs w:val="22"/>
                <w:lang w:val="en-US"/>
              </w:rPr>
            </w:pPr>
            <w:r>
              <w:rPr>
                <w:rFonts w:hint="default" w:ascii="Times New Roman" w:hAnsi="Times New Roman" w:eastAsia="Times New Roman" w:cs="Times New Roman"/>
                <w:kern w:val="0"/>
                <w:sz w:val="18"/>
                <w:szCs w:val="18"/>
                <w:lang w:val="en-US" w:eastAsia="zh-CN" w:bidi="ar"/>
              </w:rPr>
              <w:t>1&gt;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 xml:space="preserve">if the </w:t>
            </w:r>
            <w:r>
              <w:rPr>
                <w:rFonts w:hint="default" w:ascii="Times New Roman" w:hAnsi="Times New Roman" w:eastAsia="Times New Roman" w:cs="Times New Roman"/>
                <w:i/>
                <w:iCs w:val="0"/>
                <w:kern w:val="0"/>
                <w:sz w:val="18"/>
                <w:szCs w:val="18"/>
                <w:lang w:val="en-US" w:eastAsia="zh-CN" w:bidi="ar"/>
              </w:rPr>
              <w:t>frequencyInfoDL</w:t>
            </w:r>
            <w:r>
              <w:rPr>
                <w:rFonts w:hint="default" w:ascii="Times New Roman" w:hAnsi="Times New Roman" w:eastAsia="Times New Roman" w:cs="Times New Roman"/>
                <w:kern w:val="0"/>
                <w:sz w:val="18"/>
                <w:szCs w:val="18"/>
                <w:lang w:val="en-US" w:eastAsia="zh-CN" w:bidi="ar"/>
              </w:rPr>
              <w:t xml:space="preserve"> is included:</w:t>
            </w:r>
          </w:p>
          <w:p>
            <w:pPr>
              <w:pStyle w:val="54"/>
              <w:keepNext w:val="0"/>
              <w:keepLines w:val="0"/>
              <w:pageBreakBefore w:val="0"/>
              <w:widowControl/>
              <w:suppressLineNumbers w:val="0"/>
              <w:kinsoku/>
              <w:wordWrap/>
              <w:overflowPunct w:val="0"/>
              <w:topLinePunct w:val="0"/>
              <w:autoSpaceDE w:val="0"/>
              <w:autoSpaceDN w:val="0"/>
              <w:bidi w:val="0"/>
              <w:adjustRightInd w:val="0"/>
              <w:snapToGrid w:val="0"/>
              <w:spacing w:before="0" w:beforeLines="0" w:beforeAutospacing="0" w:after="180" w:afterAutospacing="0"/>
              <w:ind w:left="851" w:right="0" w:hanging="284"/>
              <w:jc w:val="left"/>
              <w:rPr>
                <w:rFonts w:hint="default"/>
                <w:sz w:val="22"/>
                <w:szCs w:val="22"/>
                <w:lang w:val="en-US"/>
              </w:rPr>
            </w:pPr>
            <w:r>
              <w:rPr>
                <w:rFonts w:hint="default" w:ascii="Times New Roman" w:hAnsi="Times New Roman" w:eastAsia="Times New Roman" w:cs="Times New Roman"/>
                <w:kern w:val="0"/>
                <w:sz w:val="18"/>
                <w:szCs w:val="18"/>
                <w:lang w:val="en-US" w:eastAsia="zh-CN" w:bidi="ar"/>
              </w:rPr>
              <w:t>2&gt;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 xml:space="preserve">consider the target SpCell to be one on the SSB frequency indicated by the </w:t>
            </w:r>
            <w:r>
              <w:rPr>
                <w:rFonts w:hint="default" w:ascii="Times New Roman" w:hAnsi="Times New Roman" w:eastAsia="Times New Roman" w:cs="Times New Roman"/>
                <w:i/>
                <w:iCs w:val="0"/>
                <w:kern w:val="0"/>
                <w:sz w:val="18"/>
                <w:szCs w:val="18"/>
                <w:lang w:val="en-US" w:eastAsia="zh-CN" w:bidi="ar"/>
              </w:rPr>
              <w:t>frequencyInfoDL</w:t>
            </w:r>
            <w:r>
              <w:rPr>
                <w:rFonts w:hint="default" w:ascii="Times New Roman" w:hAnsi="Times New Roman" w:eastAsia="Times New Roman" w:cs="Times New Roman"/>
                <w:kern w:val="0"/>
                <w:sz w:val="18"/>
                <w:szCs w:val="18"/>
                <w:lang w:val="en-US" w:eastAsia="zh-CN" w:bidi="ar"/>
              </w:rPr>
              <w:t xml:space="preserve"> with a physical cell identity indicated by the </w:t>
            </w:r>
            <w:r>
              <w:rPr>
                <w:rFonts w:hint="default" w:ascii="Times New Roman" w:hAnsi="Times New Roman" w:eastAsia="Times New Roman" w:cs="Times New Roman"/>
                <w:i/>
                <w:iCs w:val="0"/>
                <w:kern w:val="0"/>
                <w:sz w:val="18"/>
                <w:szCs w:val="18"/>
                <w:lang w:val="en-US" w:eastAsia="zh-CN" w:bidi="ar"/>
              </w:rPr>
              <w:t>physCellId</w:t>
            </w:r>
            <w:r>
              <w:rPr>
                <w:rFonts w:hint="default" w:ascii="Times New Roman" w:hAnsi="Times New Roman" w:eastAsia="Times New Roman" w:cs="Times New Roman"/>
                <w:kern w:val="0"/>
                <w:sz w:val="18"/>
                <w:szCs w:val="18"/>
                <w:lang w:val="en-US" w:eastAsia="zh-CN" w:bidi="ar"/>
              </w:rPr>
              <w:t>;</w:t>
            </w:r>
          </w:p>
          <w:p>
            <w:pPr>
              <w:pStyle w:val="54"/>
              <w:keepNext w:val="0"/>
              <w:keepLines w:val="0"/>
              <w:pageBreakBefore w:val="0"/>
              <w:widowControl/>
              <w:suppressLineNumbers w:val="0"/>
              <w:kinsoku/>
              <w:wordWrap/>
              <w:overflowPunct w:val="0"/>
              <w:topLinePunct w:val="0"/>
              <w:autoSpaceDE w:val="0"/>
              <w:autoSpaceDN w:val="0"/>
              <w:bidi w:val="0"/>
              <w:adjustRightInd w:val="0"/>
              <w:snapToGrid w:val="0"/>
              <w:spacing w:before="0" w:beforeLines="0" w:beforeAutospacing="0" w:after="180" w:afterAutospacing="0"/>
              <w:ind w:left="568" w:right="0" w:hanging="284"/>
              <w:jc w:val="left"/>
              <w:rPr>
                <w:rFonts w:hint="default"/>
                <w:sz w:val="22"/>
                <w:szCs w:val="22"/>
                <w:lang w:val="en-US"/>
              </w:rPr>
            </w:pPr>
            <w:r>
              <w:rPr>
                <w:rFonts w:hint="default" w:ascii="Times New Roman" w:hAnsi="Times New Roman" w:eastAsia="Times New Roman" w:cs="Times New Roman"/>
                <w:kern w:val="0"/>
                <w:sz w:val="18"/>
                <w:szCs w:val="18"/>
                <w:lang w:val="en-US" w:eastAsia="zh-CN" w:bidi="ar"/>
              </w:rPr>
              <w:t>1&gt;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else:</w:t>
            </w:r>
          </w:p>
          <w:p>
            <w:pPr>
              <w:pStyle w:val="54"/>
              <w:keepNext w:val="0"/>
              <w:keepLines w:val="0"/>
              <w:pageBreakBefore w:val="0"/>
              <w:widowControl/>
              <w:suppressLineNumbers w:val="0"/>
              <w:kinsoku/>
              <w:wordWrap/>
              <w:overflowPunct w:val="0"/>
              <w:topLinePunct w:val="0"/>
              <w:autoSpaceDE w:val="0"/>
              <w:autoSpaceDN w:val="0"/>
              <w:bidi w:val="0"/>
              <w:adjustRightInd w:val="0"/>
              <w:snapToGrid w:val="0"/>
              <w:spacing w:before="0" w:beforeLines="0" w:beforeAutospacing="0" w:after="180" w:afterAutospacing="0"/>
              <w:ind w:left="851" w:right="0" w:hanging="284"/>
              <w:jc w:val="left"/>
              <w:rPr>
                <w:rFonts w:hint="default"/>
                <w:sz w:val="22"/>
                <w:szCs w:val="22"/>
                <w:lang w:val="en-US"/>
              </w:rPr>
            </w:pPr>
            <w:r>
              <w:rPr>
                <w:rFonts w:hint="default" w:ascii="Times New Roman" w:hAnsi="Times New Roman" w:eastAsia="Times New Roman" w:cs="Times New Roman"/>
                <w:kern w:val="0"/>
                <w:sz w:val="18"/>
                <w:szCs w:val="18"/>
                <w:lang w:val="en-US" w:eastAsia="zh-CN" w:bidi="ar"/>
              </w:rPr>
              <w:t>2&gt;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 xml:space="preserve">consider the target SpCell to be one on the SSB frequency of the source SpCell with a physical cell identity indicated by the </w:t>
            </w:r>
            <w:r>
              <w:rPr>
                <w:rFonts w:hint="default" w:ascii="Times New Roman" w:hAnsi="Times New Roman" w:eastAsia="Times New Roman" w:cs="Times New Roman"/>
                <w:i/>
                <w:iCs w:val="0"/>
                <w:kern w:val="0"/>
                <w:sz w:val="18"/>
                <w:szCs w:val="18"/>
                <w:lang w:val="en-US" w:eastAsia="zh-CN" w:bidi="ar"/>
              </w:rPr>
              <w:t>physCellId</w:t>
            </w:r>
            <w:r>
              <w:rPr>
                <w:rFonts w:hint="default" w:ascii="Times New Roman" w:hAnsi="Times New Roman" w:eastAsia="Times New Roman" w:cs="Times New Roman"/>
                <w:kern w:val="0"/>
                <w:sz w:val="18"/>
                <w:szCs w:val="18"/>
                <w:lang w:val="en-US" w:eastAsia="zh-CN" w:bidi="ar"/>
              </w:rPr>
              <w:t>;</w:t>
            </w:r>
          </w:p>
          <w:p>
            <w:pPr>
              <w:pStyle w:val="54"/>
              <w:keepNext w:val="0"/>
              <w:keepLines w:val="0"/>
              <w:pageBreakBefore w:val="0"/>
              <w:widowControl/>
              <w:suppressLineNumbers w:val="0"/>
              <w:kinsoku/>
              <w:wordWrap/>
              <w:overflowPunct w:val="0"/>
              <w:topLinePunct w:val="0"/>
              <w:autoSpaceDE w:val="0"/>
              <w:autoSpaceDN w:val="0"/>
              <w:bidi w:val="0"/>
              <w:adjustRightInd w:val="0"/>
              <w:snapToGrid w:val="0"/>
              <w:spacing w:before="0" w:beforeLines="0" w:beforeAutospacing="0" w:after="180" w:afterAutospacing="0"/>
              <w:ind w:left="568" w:right="0" w:hanging="284"/>
              <w:jc w:val="left"/>
              <w:rPr>
                <w:rFonts w:hint="default"/>
                <w:sz w:val="22"/>
                <w:szCs w:val="22"/>
                <w:lang w:val="en-US"/>
              </w:rPr>
            </w:pPr>
            <w:r>
              <w:rPr>
                <w:rFonts w:hint="default" w:ascii="Times New Roman" w:hAnsi="Times New Roman" w:eastAsia="Times New Roman" w:cs="Times New Roman"/>
                <w:kern w:val="0"/>
                <w:sz w:val="18"/>
                <w:szCs w:val="18"/>
                <w:lang w:val="en-US" w:eastAsia="zh-CN" w:bidi="ar"/>
              </w:rPr>
              <w:t>1&gt;</w:t>
            </w:r>
            <w:r>
              <w:rPr>
                <w:rFonts w:hint="default" w:ascii="Times New Roman" w:hAnsi="Times New Roman" w:eastAsia="Times New Roman" w:cs="Times New Roman"/>
                <w:kern w:val="0"/>
                <w:sz w:val="18"/>
                <w:szCs w:val="18"/>
                <w:lang w:val="en-US" w:eastAsia="zh-CN" w:bidi="ar"/>
              </w:rPr>
              <w:tab/>
            </w:r>
            <w:r>
              <w:rPr>
                <w:rFonts w:hint="default" w:ascii="Times New Roman" w:hAnsi="Times New Roman" w:eastAsia="Times New Roman" w:cs="Times New Roman"/>
                <w:kern w:val="0"/>
                <w:sz w:val="18"/>
                <w:szCs w:val="18"/>
                <w:lang w:val="en-US" w:eastAsia="zh-CN" w:bidi="ar"/>
              </w:rPr>
              <w:t xml:space="preserve">start synchronising to the DL of the target SpCell and acquire the </w:t>
            </w:r>
            <w:r>
              <w:rPr>
                <w:rFonts w:hint="default" w:ascii="Times New Roman" w:hAnsi="Times New Roman" w:eastAsia="Times New Roman" w:cs="Times New Roman"/>
                <w:i/>
                <w:iCs w:val="0"/>
                <w:kern w:val="0"/>
                <w:sz w:val="18"/>
                <w:szCs w:val="18"/>
                <w:lang w:val="en-US" w:eastAsia="zh-CN" w:bidi="ar"/>
              </w:rPr>
              <w:t>MIB</w:t>
            </w:r>
            <w:r>
              <w:rPr>
                <w:rFonts w:hint="default" w:ascii="Times New Roman" w:hAnsi="Times New Roman" w:eastAsia="Times New Roman" w:cs="Times New Roman"/>
                <w:kern w:val="0"/>
                <w:sz w:val="18"/>
                <w:szCs w:val="18"/>
                <w:lang w:val="en-US" w:eastAsia="zh-CN" w:bidi="ar"/>
              </w:rPr>
              <w:t xml:space="preserve"> of the target SpCell as specified in 5.2.2.3.1;</w:t>
            </w:r>
          </w:p>
          <w:p>
            <w:pPr>
              <w:keepNext w:val="0"/>
              <w:keepLines w:val="0"/>
              <w:pageBreakBefore w:val="0"/>
              <w:widowControl/>
              <w:suppressLineNumbers w:val="0"/>
              <w:kinsoku/>
              <w:wordWrap/>
              <w:topLinePunct w:val="0"/>
              <w:bidi w:val="0"/>
              <w:snapToGrid w:val="0"/>
              <w:spacing w:before="0" w:beforeLines="0" w:beforeAutospacing="0" w:afterAutospacing="0"/>
              <w:ind w:left="0" w:right="0"/>
              <w:jc w:val="left"/>
              <w:rPr>
                <w:rFonts w:hint="default" w:eastAsia="MS Mincho"/>
                <w:vertAlign w:val="baseline"/>
                <w:lang w:val="en-US"/>
              </w:rPr>
            </w:pPr>
            <w:r>
              <w:rPr>
                <w:rFonts w:hint="default" w:ascii="Times New Roman" w:hAnsi="Times New Roman" w:eastAsia="Times New Roman" w:cs="Times New Roman"/>
                <w:kern w:val="0"/>
                <w:sz w:val="18"/>
                <w:szCs w:val="18"/>
                <w:highlight w:val="yellow"/>
                <w:lang w:val="en-US" w:eastAsia="zh-CN" w:bidi="ar"/>
              </w:rPr>
              <w:t>NOTE:</w:t>
            </w:r>
            <w:r>
              <w:rPr>
                <w:rFonts w:hint="default" w:ascii="Times New Roman" w:hAnsi="Times New Roman" w:eastAsia="Times New Roman" w:cs="Times New Roman"/>
                <w:kern w:val="0"/>
                <w:sz w:val="18"/>
                <w:szCs w:val="18"/>
                <w:highlight w:val="yellow"/>
                <w:lang w:val="en-US" w:eastAsia="zh-CN" w:bidi="ar"/>
              </w:rPr>
              <w:tab/>
            </w:r>
            <w:r>
              <w:rPr>
                <w:rFonts w:hint="default" w:ascii="Times New Roman" w:hAnsi="Times New Roman" w:eastAsia="Times New Roman" w:cs="Times New Roman"/>
                <w:kern w:val="0"/>
                <w:sz w:val="18"/>
                <w:szCs w:val="18"/>
                <w:highlight w:val="yellow"/>
                <w:lang w:val="en-US" w:eastAsia="zh-CN" w:bidi="ar"/>
              </w:rPr>
              <w:t>The UE should perform the reconfiguration with sync as soon as possible following the reception of the RRC message triggering the reconfiguration with sync, which could be before confirming successful reception (HARQ and ARQ) of this message.</w:t>
            </w:r>
          </w:p>
        </w:tc>
      </w:tr>
    </w:tbl>
    <w:p>
      <w:pPr>
        <w:spacing w:before="156" w:after="156" w:afterLines="50"/>
        <w:ind w:left="1202" w:hanging="1202" w:hangingChars="570"/>
        <w:rPr>
          <w:rFonts w:hint="eastAsia"/>
          <w:b/>
          <w:lang w:val="en-US" w:eastAsia="zh-CN"/>
        </w:rPr>
      </w:pPr>
      <w:r>
        <w:rPr>
          <w:rFonts w:hint="eastAsia"/>
          <w:b/>
          <w:lang w:val="en-US" w:eastAsia="zh-CN"/>
        </w:rPr>
        <w:t>Observation3: Upon reconfiguration with sync, HARQ and ARQ of RRCReconfiguration message could be skipped to meet lower latency.</w:t>
      </w:r>
    </w:p>
    <w:p>
      <w:pPr>
        <w:spacing w:before="156"/>
        <w:rPr>
          <w:rFonts w:hint="eastAsia"/>
          <w:lang w:val="en-US" w:eastAsia="zh-CN"/>
        </w:rPr>
      </w:pPr>
      <w:r>
        <w:rPr>
          <w:rFonts w:hint="eastAsia"/>
          <w:lang w:val="en-US" w:eastAsia="zh-CN"/>
        </w:rPr>
        <w:t xml:space="preserve">In our understanding, RRC based BWP switch is more or less similar to </w:t>
      </w:r>
      <w:r>
        <w:rPr>
          <w:rFonts w:hint="default"/>
          <w:lang w:val="en-US" w:eastAsia="zh-CN"/>
        </w:rPr>
        <w:t>“</w:t>
      </w:r>
      <w:r>
        <w:rPr>
          <w:rFonts w:hint="eastAsia"/>
          <w:lang w:val="en-US" w:eastAsia="zh-CN"/>
        </w:rPr>
        <w:t>handover</w:t>
      </w:r>
      <w:r>
        <w:rPr>
          <w:rFonts w:hint="default"/>
          <w:lang w:val="en-US" w:eastAsia="zh-CN"/>
        </w:rPr>
        <w:t>”</w:t>
      </w:r>
      <w:r>
        <w:rPr>
          <w:rFonts w:hint="eastAsia"/>
          <w:lang w:val="en-US" w:eastAsia="zh-CN"/>
        </w:rPr>
        <w:t xml:space="preserve"> procedure, because the indicated new firstActiveDownlinkBWP and firstActiveUplinkBWP may not overlapped with previous activated DL/UL BWPs. With centre frequency changes, UE has to retune RF chain to the newly BWP. For reconfiguration case, the same optimization can be adopt to reduce the total interruption time. From network perspective, network can determines UE</w:t>
      </w:r>
      <w:r>
        <w:rPr>
          <w:rFonts w:hint="default"/>
          <w:lang w:val="en-US" w:eastAsia="zh-CN"/>
        </w:rPr>
        <w:t>’</w:t>
      </w:r>
      <w:r>
        <w:rPr>
          <w:rFonts w:hint="eastAsia"/>
          <w:lang w:val="en-US" w:eastAsia="zh-CN"/>
        </w:rPr>
        <w:t xml:space="preserve">s status based on network implementation, such as new SR received from new BWP, or the successful attempted UL/DL schedule over new BWP.  </w:t>
      </w:r>
    </w:p>
    <w:p>
      <w:pPr>
        <w:spacing w:before="156" w:after="156" w:afterLines="50"/>
        <w:ind w:left="1202" w:hanging="1202" w:hangingChars="570"/>
        <w:rPr>
          <w:rFonts w:hint="eastAsia"/>
          <w:lang w:val="en-US" w:eastAsia="zh-CN"/>
        </w:rPr>
      </w:pPr>
      <w:r>
        <w:rPr>
          <w:rFonts w:hint="eastAsia"/>
          <w:b/>
          <w:lang w:val="en-US" w:eastAsia="zh-CN"/>
        </w:rPr>
        <w:t>Proposal 1</w:t>
      </w:r>
      <w:r>
        <w:rPr>
          <w:rFonts w:hint="eastAsia"/>
          <w:b/>
        </w:rPr>
        <w:t xml:space="preserve">: </w:t>
      </w:r>
      <w:r>
        <w:rPr>
          <w:rFonts w:hint="eastAsia"/>
          <w:b/>
        </w:rPr>
        <w:tab/>
      </w:r>
      <w:r>
        <w:rPr>
          <w:rFonts w:hint="eastAsia"/>
          <w:b/>
          <w:lang w:val="en-US" w:eastAsia="zh-CN"/>
        </w:rPr>
        <w:t xml:space="preserve">Regarding RRC based BWP switch with reconfiguration without sync, UE should perform the reconfiguration as soon as possible, which could be before confirming successful reception(HARQ and ARQ) of the RRC message </w:t>
      </w:r>
      <w:r>
        <w:rPr>
          <w:rFonts w:hint="eastAsia"/>
          <w:b/>
        </w:rPr>
        <w:t>.</w:t>
      </w:r>
    </w:p>
    <w:p>
      <w:pPr>
        <w:spacing w:before="156"/>
        <w:rPr>
          <w:rFonts w:hint="eastAsia"/>
          <w:lang w:val="en-US" w:eastAsia="zh-CN"/>
        </w:rPr>
      </w:pPr>
      <w:r>
        <w:rPr>
          <w:rFonts w:hint="eastAsia"/>
          <w:lang w:val="en-US" w:eastAsia="zh-CN"/>
        </w:rPr>
        <w:t xml:space="preserve">While for initial access/resume/re-establishment, in order to reduce the total control plan latency of states transition, it is also beneficial to reuse the same principle as well.  </w:t>
      </w:r>
    </w:p>
    <w:p>
      <w:pPr>
        <w:spacing w:before="156" w:after="156" w:afterLines="50"/>
        <w:ind w:left="1202" w:hanging="1202" w:hangingChars="570"/>
      </w:pPr>
      <w:r>
        <w:rPr>
          <w:rFonts w:hint="eastAsia"/>
          <w:b/>
          <w:lang w:val="en-US" w:eastAsia="zh-CN"/>
        </w:rPr>
        <w:t>Proposal 2</w:t>
      </w:r>
      <w:r>
        <w:rPr>
          <w:rFonts w:hint="eastAsia"/>
          <w:b/>
        </w:rPr>
        <w:t xml:space="preserve">: </w:t>
      </w:r>
      <w:r>
        <w:rPr>
          <w:rFonts w:hint="eastAsia"/>
          <w:b/>
        </w:rPr>
        <w:tab/>
      </w:r>
      <w:r>
        <w:rPr>
          <w:rFonts w:hint="eastAsia"/>
          <w:b/>
          <w:lang w:val="en-US" w:eastAsia="zh-CN"/>
        </w:rPr>
        <w:t xml:space="preserve">Regarding RRC based BWP switch with Msg4, UE should perform the reconfiguration as soon as possible, which could be before confirming successful reception(HARQ and ARQ) of the RRC message </w:t>
      </w:r>
      <w:r>
        <w:rPr>
          <w:rFonts w:hint="eastAsia"/>
          <w:b/>
        </w:rPr>
        <w:t>.</w:t>
      </w:r>
    </w:p>
    <w:p>
      <w:pPr>
        <w:spacing w:before="156"/>
        <w:rPr>
          <w:rFonts w:hint="eastAsia"/>
          <w:lang w:val="en-US" w:eastAsia="zh-CN"/>
        </w:rPr>
      </w:pPr>
      <w:r>
        <w:rPr>
          <w:rFonts w:hint="eastAsia"/>
          <w:lang w:val="en-US" w:eastAsia="zh-CN"/>
        </w:rPr>
        <w:t xml:space="preserve">In the current 38.331, irrespective of Msg4 case or RRCReconfiguration case, RRC based switch procedures are described in the same section, hence, the proposed text procedure is provided in CR[1] to capture proposal1 and proposal2. </w:t>
      </w:r>
    </w:p>
    <w:p>
      <w:pPr>
        <w:spacing w:before="156" w:after="156" w:afterLines="50"/>
        <w:ind w:left="1202" w:hanging="1202" w:hangingChars="570"/>
        <w:rPr>
          <w:rFonts w:hint="eastAsia"/>
        </w:rPr>
      </w:pPr>
      <w:r>
        <w:rPr>
          <w:rFonts w:hint="eastAsia"/>
          <w:b/>
          <w:lang w:val="en-US" w:eastAsia="zh-CN"/>
        </w:rPr>
        <w:t>Proposal 3</w:t>
      </w:r>
      <w:r>
        <w:rPr>
          <w:rFonts w:hint="eastAsia"/>
          <w:b/>
        </w:rPr>
        <w:t xml:space="preserve">: </w:t>
      </w:r>
      <w:r>
        <w:rPr>
          <w:rFonts w:hint="eastAsia"/>
          <w:b/>
        </w:rPr>
        <w:tab/>
      </w:r>
      <w:r>
        <w:rPr>
          <w:rFonts w:hint="eastAsia"/>
          <w:b/>
          <w:lang w:val="en-US" w:eastAsia="zh-CN"/>
        </w:rPr>
        <w:t>Adopt the updated text procedure in CR[1]</w:t>
      </w:r>
      <w:r>
        <w:rPr>
          <w:rFonts w:hint="eastAsia"/>
          <w:b/>
        </w:rPr>
        <w: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spacing w:before="156" w:after="156" w:afterLines="50"/>
        <w:ind w:left="1202" w:hanging="1202" w:hangingChars="570"/>
        <w:rPr>
          <w:rFonts w:hint="eastAsia"/>
          <w:b/>
          <w:lang w:val="en-US" w:eastAsia="zh-CN"/>
        </w:rPr>
      </w:pPr>
      <w:r>
        <w:rPr>
          <w:rFonts w:hint="eastAsia"/>
          <w:b/>
          <w:lang w:val="en-US" w:eastAsia="zh-CN"/>
        </w:rPr>
        <w:t>Observation1</w:t>
      </w:r>
      <w:r>
        <w:rPr>
          <w:rFonts w:hint="eastAsia"/>
          <w:b/>
        </w:rPr>
        <w:t xml:space="preserve">: </w:t>
      </w:r>
      <w:r>
        <w:rPr>
          <w:rFonts w:hint="eastAsia"/>
          <w:b/>
          <w:lang w:val="en-US" w:eastAsia="zh-CN"/>
        </w:rPr>
        <w:t xml:space="preserve">In case of RRC based BWP switch, it is unclear whether HARQ/ARQ is needed for Msg4 or RRCReconfiguration message, and which BWP will be used for Ack/Nack Transmission if any.  </w:t>
      </w:r>
    </w:p>
    <w:p>
      <w:pPr>
        <w:spacing w:before="156" w:after="156" w:afterLines="50"/>
        <w:ind w:left="1202" w:hanging="1202" w:hangingChars="570"/>
        <w:rPr>
          <w:rFonts w:hint="eastAsia"/>
          <w:lang w:val="en-US" w:eastAsia="zh-CN"/>
        </w:rPr>
      </w:pPr>
      <w:r>
        <w:rPr>
          <w:rFonts w:hint="eastAsia"/>
          <w:b/>
          <w:lang w:val="en-US" w:eastAsia="zh-CN"/>
        </w:rPr>
        <w:t>Observation2</w:t>
      </w:r>
      <w:r>
        <w:rPr>
          <w:rFonts w:hint="eastAsia"/>
          <w:b/>
        </w:rPr>
        <w:t xml:space="preserve">: </w:t>
      </w:r>
      <w:r>
        <w:rPr>
          <w:rFonts w:hint="eastAsia"/>
          <w:b/>
          <w:lang w:val="en-US" w:eastAsia="zh-CN"/>
        </w:rPr>
        <w:t xml:space="preserve">According to RAN1 agreement, for RRC triggered BWP switch, UE is not expected to transmit HARQ-ACK if UL BWP is switched between the reception of DL RRC message and the time of HARQ-ACK transmission.  </w:t>
      </w:r>
    </w:p>
    <w:p>
      <w:pPr>
        <w:spacing w:before="156" w:after="156" w:afterLines="50"/>
        <w:ind w:left="1202" w:hanging="1202" w:hangingChars="570"/>
        <w:rPr>
          <w:rFonts w:hint="eastAsia"/>
          <w:b/>
          <w:lang w:val="en-US" w:eastAsia="zh-CN"/>
        </w:rPr>
      </w:pPr>
      <w:r>
        <w:rPr>
          <w:rFonts w:hint="eastAsia"/>
          <w:b/>
          <w:lang w:val="en-US" w:eastAsia="zh-CN"/>
        </w:rPr>
        <w:t>Observation3: Upon reconfiguration with sync, HARQ and ARQ of RRCReconfiguration message could be skipped to meet lower latency.</w:t>
      </w:r>
    </w:p>
    <w:p>
      <w:pPr>
        <w:spacing w:before="156" w:after="156" w:afterLines="50"/>
        <w:ind w:left="1202" w:hanging="1202" w:hangingChars="570"/>
        <w:rPr>
          <w:rFonts w:hint="eastAsia"/>
          <w:lang w:val="en-US" w:eastAsia="zh-CN"/>
        </w:rPr>
      </w:pPr>
      <w:r>
        <w:rPr>
          <w:rFonts w:hint="eastAsia"/>
          <w:b/>
          <w:lang w:val="en-US" w:eastAsia="zh-CN"/>
        </w:rPr>
        <w:t>Proposal 1</w:t>
      </w:r>
      <w:r>
        <w:rPr>
          <w:rFonts w:hint="eastAsia"/>
          <w:b/>
        </w:rPr>
        <w:t xml:space="preserve">: </w:t>
      </w:r>
      <w:r>
        <w:rPr>
          <w:rFonts w:hint="eastAsia"/>
          <w:b/>
        </w:rPr>
        <w:tab/>
      </w:r>
      <w:r>
        <w:rPr>
          <w:rFonts w:hint="eastAsia"/>
          <w:b/>
          <w:lang w:val="en-US" w:eastAsia="zh-CN"/>
        </w:rPr>
        <w:t xml:space="preserve">Regarding RRC based BWP switch with reconfiguration without sync, UE should perform the reconfiguration as soon as possible, which could be before confirming successful reception(HARQ and ARQ) of the RRC message </w:t>
      </w:r>
      <w:r>
        <w:rPr>
          <w:rFonts w:hint="eastAsia"/>
          <w:b/>
        </w:rPr>
        <w:t>.</w:t>
      </w:r>
    </w:p>
    <w:p>
      <w:pPr>
        <w:spacing w:before="156" w:after="156" w:afterLines="50"/>
        <w:ind w:left="1202" w:hanging="1202" w:hangingChars="570"/>
      </w:pPr>
      <w:r>
        <w:rPr>
          <w:rFonts w:hint="eastAsia"/>
          <w:b/>
          <w:lang w:val="en-US" w:eastAsia="zh-CN"/>
        </w:rPr>
        <w:t>Proposal 2</w:t>
      </w:r>
      <w:r>
        <w:rPr>
          <w:rFonts w:hint="eastAsia"/>
          <w:b/>
        </w:rPr>
        <w:t xml:space="preserve">: </w:t>
      </w:r>
      <w:r>
        <w:rPr>
          <w:rFonts w:hint="eastAsia"/>
          <w:b/>
        </w:rPr>
        <w:tab/>
      </w:r>
      <w:r>
        <w:rPr>
          <w:rFonts w:hint="eastAsia"/>
          <w:b/>
          <w:lang w:val="en-US" w:eastAsia="zh-CN"/>
        </w:rPr>
        <w:t xml:space="preserve">Regarding RRC based BWP switch with Msg4, UE should perform the reconfiguration as soon as possible, which could be before confirming successful reception(HARQ and ARQ) of the RRC message </w:t>
      </w:r>
      <w:r>
        <w:rPr>
          <w:rFonts w:hint="eastAsia"/>
          <w:b/>
        </w:rPr>
        <w:t>.</w:t>
      </w:r>
    </w:p>
    <w:p>
      <w:pPr>
        <w:spacing w:before="156" w:after="156" w:afterLines="50"/>
        <w:ind w:left="1202" w:hanging="1202" w:hangingChars="570"/>
        <w:rPr>
          <w:rFonts w:hint="eastAsia"/>
        </w:rPr>
      </w:pPr>
      <w:r>
        <w:rPr>
          <w:rFonts w:hint="eastAsia"/>
          <w:b/>
          <w:lang w:val="en-US" w:eastAsia="zh-CN"/>
        </w:rPr>
        <w:t>Proposal 3</w:t>
      </w:r>
      <w:r>
        <w:rPr>
          <w:rFonts w:hint="eastAsia"/>
          <w:b/>
        </w:rPr>
        <w:t xml:space="preserve">: </w:t>
      </w:r>
      <w:r>
        <w:rPr>
          <w:rFonts w:hint="eastAsia"/>
          <w:b/>
        </w:rPr>
        <w:tab/>
      </w:r>
      <w:r>
        <w:rPr>
          <w:rFonts w:hint="eastAsia"/>
          <w:b/>
          <w:lang w:val="en-US" w:eastAsia="zh-CN"/>
        </w:rPr>
        <w:t>Adopt the updated text procedure in CR[1]</w:t>
      </w:r>
      <w:r>
        <w:rPr>
          <w:rFonts w:hint="eastAsia"/>
          <w:b/>
        </w:rPr>
        <w: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Reference</w:t>
      </w:r>
    </w:p>
    <w:p>
      <w:pPr>
        <w:spacing w:before="156"/>
        <w:ind w:left="1320" w:hanging="1320" w:hangingChars="600"/>
        <w:rPr>
          <w:sz w:val="22"/>
          <w:lang w:val="en-US"/>
        </w:rPr>
      </w:pPr>
      <w:r>
        <w:rPr>
          <w:rFonts w:hint="eastAsia"/>
          <w:sz w:val="22"/>
          <w:lang w:val="en-US" w:eastAsia="zh-CN"/>
        </w:rPr>
        <w:t>[1] R2-1813938 Clarification on HARQ ARQ procedure under RRC based BWP switch ZTE Corporation, Sanechips  CR  38.331</w:t>
      </w:r>
    </w:p>
    <w:p>
      <w:pPr>
        <w:pStyle w:val="67"/>
        <w:spacing w:before="156"/>
        <w:ind w:firstLine="0" w:firstLineChars="0"/>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auto"/>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90C5B9E"/>
    <w:multiLevelType w:val="singleLevel"/>
    <w:tmpl w:val="290C5B9E"/>
    <w:lvl w:ilvl="0" w:tentative="0">
      <w:start w:val="1"/>
      <w:numFmt w:val="bullet"/>
      <w:lvlText w:val=""/>
      <w:lvlJc w:val="left"/>
      <w:pPr>
        <w:ind w:left="420" w:hanging="420"/>
      </w:pPr>
      <w:rPr>
        <w:rFonts w:hint="default" w:ascii="Wingdings" w:hAnsi="Wingdings"/>
      </w:r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2244"/>
    <w:rsid w:val="009F3D12"/>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771801"/>
    <w:rsid w:val="07825B13"/>
    <w:rsid w:val="07864148"/>
    <w:rsid w:val="07AE0C6B"/>
    <w:rsid w:val="07CE088B"/>
    <w:rsid w:val="085636D7"/>
    <w:rsid w:val="08B665B2"/>
    <w:rsid w:val="09F42949"/>
    <w:rsid w:val="0ADA27AB"/>
    <w:rsid w:val="0B233C4C"/>
    <w:rsid w:val="0B8E6116"/>
    <w:rsid w:val="0C085429"/>
    <w:rsid w:val="0CB302D0"/>
    <w:rsid w:val="0CD63978"/>
    <w:rsid w:val="0CFF2AF0"/>
    <w:rsid w:val="0D903FA1"/>
    <w:rsid w:val="0D9F789E"/>
    <w:rsid w:val="0E6675E9"/>
    <w:rsid w:val="0E7304E4"/>
    <w:rsid w:val="0F0670A0"/>
    <w:rsid w:val="0F117F9B"/>
    <w:rsid w:val="0F292443"/>
    <w:rsid w:val="0FDD0A05"/>
    <w:rsid w:val="0FF22E1E"/>
    <w:rsid w:val="10D00944"/>
    <w:rsid w:val="10E66856"/>
    <w:rsid w:val="121151DD"/>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8CF2786"/>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7230F8"/>
    <w:rsid w:val="20582F06"/>
    <w:rsid w:val="205A1B67"/>
    <w:rsid w:val="211A1954"/>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A64CFE"/>
    <w:rsid w:val="2E9A0203"/>
    <w:rsid w:val="2E9C3162"/>
    <w:rsid w:val="2EAC79D3"/>
    <w:rsid w:val="2F10116D"/>
    <w:rsid w:val="2F1078C3"/>
    <w:rsid w:val="2FA04582"/>
    <w:rsid w:val="2FA73BC2"/>
    <w:rsid w:val="30906EDC"/>
    <w:rsid w:val="30BC181C"/>
    <w:rsid w:val="30D7158A"/>
    <w:rsid w:val="311C6F65"/>
    <w:rsid w:val="31F51D67"/>
    <w:rsid w:val="324A2AA5"/>
    <w:rsid w:val="3274443B"/>
    <w:rsid w:val="33366343"/>
    <w:rsid w:val="335D01AB"/>
    <w:rsid w:val="33CE46B3"/>
    <w:rsid w:val="34035E02"/>
    <w:rsid w:val="34164647"/>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7D6E14"/>
    <w:rsid w:val="3DCF2E0D"/>
    <w:rsid w:val="3DF07251"/>
    <w:rsid w:val="3F22265A"/>
    <w:rsid w:val="3F332A8A"/>
    <w:rsid w:val="3F5E685A"/>
    <w:rsid w:val="3F6716E0"/>
    <w:rsid w:val="3F6F3D8F"/>
    <w:rsid w:val="3F751146"/>
    <w:rsid w:val="3F7817C5"/>
    <w:rsid w:val="3F8B7650"/>
    <w:rsid w:val="403409ED"/>
    <w:rsid w:val="40E72FE1"/>
    <w:rsid w:val="413A1483"/>
    <w:rsid w:val="42241D93"/>
    <w:rsid w:val="43075B38"/>
    <w:rsid w:val="432C35DA"/>
    <w:rsid w:val="444F0F50"/>
    <w:rsid w:val="445F34EB"/>
    <w:rsid w:val="44807771"/>
    <w:rsid w:val="44B3345F"/>
    <w:rsid w:val="44C70D28"/>
    <w:rsid w:val="44CA5ED0"/>
    <w:rsid w:val="44D75642"/>
    <w:rsid w:val="44F84F89"/>
    <w:rsid w:val="464C7438"/>
    <w:rsid w:val="465002DF"/>
    <w:rsid w:val="47BA7497"/>
    <w:rsid w:val="47C90932"/>
    <w:rsid w:val="47CC43E5"/>
    <w:rsid w:val="480313B7"/>
    <w:rsid w:val="48A615D1"/>
    <w:rsid w:val="49E06BA9"/>
    <w:rsid w:val="4A6B42BA"/>
    <w:rsid w:val="4A78750E"/>
    <w:rsid w:val="4AF063BB"/>
    <w:rsid w:val="4B03481E"/>
    <w:rsid w:val="4B1F4A36"/>
    <w:rsid w:val="4B26478F"/>
    <w:rsid w:val="4CCE58DF"/>
    <w:rsid w:val="4D833BDD"/>
    <w:rsid w:val="4D8F1420"/>
    <w:rsid w:val="4D9133D7"/>
    <w:rsid w:val="4DA259C6"/>
    <w:rsid w:val="4EED0ECB"/>
    <w:rsid w:val="4F153710"/>
    <w:rsid w:val="4F32192C"/>
    <w:rsid w:val="4F574BF0"/>
    <w:rsid w:val="4F5D1159"/>
    <w:rsid w:val="4F6911F6"/>
    <w:rsid w:val="4F6B5B31"/>
    <w:rsid w:val="4F7702B4"/>
    <w:rsid w:val="4F861A22"/>
    <w:rsid w:val="505D60F8"/>
    <w:rsid w:val="509E51F9"/>
    <w:rsid w:val="50DC5240"/>
    <w:rsid w:val="513A38F8"/>
    <w:rsid w:val="518642B9"/>
    <w:rsid w:val="52997015"/>
    <w:rsid w:val="52EF7AFD"/>
    <w:rsid w:val="53785995"/>
    <w:rsid w:val="54055632"/>
    <w:rsid w:val="541344B2"/>
    <w:rsid w:val="542C047E"/>
    <w:rsid w:val="54D34AE9"/>
    <w:rsid w:val="555F2D5C"/>
    <w:rsid w:val="55707D6E"/>
    <w:rsid w:val="55BE3BCA"/>
    <w:rsid w:val="55D03F0D"/>
    <w:rsid w:val="56570DDF"/>
    <w:rsid w:val="56661008"/>
    <w:rsid w:val="566E68DC"/>
    <w:rsid w:val="567224AC"/>
    <w:rsid w:val="56854CA9"/>
    <w:rsid w:val="56D415F4"/>
    <w:rsid w:val="56E91F0E"/>
    <w:rsid w:val="57006206"/>
    <w:rsid w:val="570944D3"/>
    <w:rsid w:val="572B6F10"/>
    <w:rsid w:val="575007FA"/>
    <w:rsid w:val="57CC2AB5"/>
    <w:rsid w:val="58220522"/>
    <w:rsid w:val="585E5314"/>
    <w:rsid w:val="588B6889"/>
    <w:rsid w:val="593169A3"/>
    <w:rsid w:val="598F4BEC"/>
    <w:rsid w:val="599D4276"/>
    <w:rsid w:val="59CF200A"/>
    <w:rsid w:val="59F41719"/>
    <w:rsid w:val="5A3568A9"/>
    <w:rsid w:val="5A546117"/>
    <w:rsid w:val="5A914854"/>
    <w:rsid w:val="5A981FA2"/>
    <w:rsid w:val="5B9D3D8A"/>
    <w:rsid w:val="5BAC7B59"/>
    <w:rsid w:val="5CC755DE"/>
    <w:rsid w:val="5CC919BB"/>
    <w:rsid w:val="5CFE3025"/>
    <w:rsid w:val="5D53372E"/>
    <w:rsid w:val="5DBB697B"/>
    <w:rsid w:val="5E195987"/>
    <w:rsid w:val="5FD536BC"/>
    <w:rsid w:val="604F5B72"/>
    <w:rsid w:val="60755D7F"/>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F93924"/>
    <w:rsid w:val="690318C2"/>
    <w:rsid w:val="69514322"/>
    <w:rsid w:val="69797C2C"/>
    <w:rsid w:val="69CB3D72"/>
    <w:rsid w:val="69D04AC7"/>
    <w:rsid w:val="6A2D32EF"/>
    <w:rsid w:val="6A667D8E"/>
    <w:rsid w:val="6B095FA5"/>
    <w:rsid w:val="6B5758E6"/>
    <w:rsid w:val="6C272137"/>
    <w:rsid w:val="6CA14A31"/>
    <w:rsid w:val="6CA73C88"/>
    <w:rsid w:val="6CA87341"/>
    <w:rsid w:val="6CD616AD"/>
    <w:rsid w:val="6D1B16C6"/>
    <w:rsid w:val="6D624BE1"/>
    <w:rsid w:val="6E6A6492"/>
    <w:rsid w:val="6EF90FB6"/>
    <w:rsid w:val="6F372F1E"/>
    <w:rsid w:val="6F424DC6"/>
    <w:rsid w:val="70772371"/>
    <w:rsid w:val="70B268B6"/>
    <w:rsid w:val="70B646BA"/>
    <w:rsid w:val="70F424CE"/>
    <w:rsid w:val="71063756"/>
    <w:rsid w:val="71A04715"/>
    <w:rsid w:val="71D52274"/>
    <w:rsid w:val="71DA4E05"/>
    <w:rsid w:val="71E1412A"/>
    <w:rsid w:val="71E47FB5"/>
    <w:rsid w:val="7204157C"/>
    <w:rsid w:val="721C6CC0"/>
    <w:rsid w:val="72BF5DEB"/>
    <w:rsid w:val="732D3BE4"/>
    <w:rsid w:val="735F52EF"/>
    <w:rsid w:val="738D7669"/>
    <w:rsid w:val="73C86FC2"/>
    <w:rsid w:val="74BE6C32"/>
    <w:rsid w:val="750B18BC"/>
    <w:rsid w:val="758E056D"/>
    <w:rsid w:val="759A5A96"/>
    <w:rsid w:val="75A154BC"/>
    <w:rsid w:val="761E6675"/>
    <w:rsid w:val="76461F12"/>
    <w:rsid w:val="765014FD"/>
    <w:rsid w:val="765123BD"/>
    <w:rsid w:val="7696035D"/>
    <w:rsid w:val="76A01073"/>
    <w:rsid w:val="76C36392"/>
    <w:rsid w:val="76DD7FE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281"/>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0">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281">
    <w:name w:val="标题 5 Char"/>
    <w:basedOn w:val="56"/>
    <w:link w:val="6"/>
    <w:qFormat/>
    <w:uiPriority w:val="0"/>
    <w:rPr>
      <w:rFonts w:hint="default" w:ascii="Arial" w:hAnsi="Arial" w:eastAsia="Times New Roman" w:cs="Arial"/>
      <w:sz w:val="22"/>
    </w:rPr>
  </w:style>
  <w:style w:type="character" w:customStyle="1" w:styleId="282">
    <w:name w:val="标题 4 Char"/>
    <w:basedOn w:val="56"/>
    <w:link w:val="5"/>
    <w:qFormat/>
    <w:uiPriority w:val="0"/>
    <w:rPr>
      <w:rFonts w:ascii="Calibri Light" w:hAnsi="Calibri Light" w:eastAsia="等线 Light" w:cs="Times New Roman"/>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172D4C-C598-4EFA-8B8E-D6D3DC43F7A7}">
  <ds:schemaRefs/>
</ds:datastoreItem>
</file>

<file path=docProps/app.xml><?xml version="1.0" encoding="utf-8"?>
<Properties xmlns="http://schemas.openxmlformats.org/officeDocument/2006/extended-properties" xmlns:vt="http://schemas.openxmlformats.org/officeDocument/2006/docPropsVTypes">
  <Template>Normal</Template>
  <Pages>4</Pages>
  <Words>1117</Words>
  <Characters>6367</Characters>
  <Lines>53</Lines>
  <Paragraphs>14</Paragraphs>
  <TotalTime>20</TotalTime>
  <ScaleCrop>false</ScaleCrop>
  <LinksUpToDate>false</LinksUpToDate>
  <CharactersWithSpaces>7470</CharactersWithSpaces>
  <Application>WPS Office_11.1.0.7832_F1E327BC-269C-435d-A152-05C5408002CA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2018-09-27T11:05:37Z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ies>
</file>